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36583" w14:textId="17813F7B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13088B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2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513FEA56" w14:textId="77777777" w:rsidR="00C35FA6" w:rsidRPr="00F01920" w:rsidRDefault="00C35FA6" w:rsidP="00C35FA6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F01920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 </w:t>
      </w:r>
    </w:p>
    <w:p w14:paraId="1C0DC860" w14:textId="77777777" w:rsidR="00C35FA6" w:rsidRPr="00F01920" w:rsidRDefault="00C35FA6" w:rsidP="00C35FA6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57CCCA43" w14:textId="21ABD72D" w:rsidR="00C35FA6" w:rsidRDefault="00C35FA6" w:rsidP="00C35FA6">
      <w:pPr>
        <w:jc w:val="both"/>
        <w:rPr>
          <w:sz w:val="24"/>
          <w:szCs w:val="24"/>
          <w:lang w:val="sr-Cyrl-CS"/>
        </w:rPr>
      </w:pPr>
      <w:r w:rsidRPr="00F01920">
        <w:rPr>
          <w:bCs/>
          <w:sz w:val="24"/>
          <w:szCs w:val="24"/>
          <w:lang w:val="sr-Cyrl-CS"/>
        </w:rPr>
        <w:t xml:space="preserve">За потребе ефикасне реализације Програма енергетске санације потребно је да привредни субјект у понуду грађанима урачуна израду техничке документације за реализацију следећих </w:t>
      </w:r>
      <w:r w:rsidRPr="00F01920">
        <w:rPr>
          <w:sz w:val="24"/>
          <w:szCs w:val="24"/>
          <w:lang w:val="sr-Cyrl-CS"/>
        </w:rPr>
        <w:t>мера енергетске ефикасности</w:t>
      </w:r>
      <w:r>
        <w:rPr>
          <w:sz w:val="24"/>
          <w:szCs w:val="24"/>
          <w:lang w:val="sr-Cyrl-CS"/>
        </w:rPr>
        <w:t xml:space="preserve"> и то</w:t>
      </w:r>
      <w:r>
        <w:rPr>
          <w:sz w:val="24"/>
          <w:szCs w:val="24"/>
          <w:lang w:val="sr-Cyrl-CS"/>
        </w:rPr>
        <w:t>:</w:t>
      </w:r>
    </w:p>
    <w:p w14:paraId="66785FCD" w14:textId="77777777" w:rsidR="00C35FA6" w:rsidRPr="00F01920" w:rsidRDefault="00C35FA6" w:rsidP="00C35FA6">
      <w:pPr>
        <w:jc w:val="both"/>
        <w:rPr>
          <w:bCs/>
          <w:sz w:val="24"/>
          <w:szCs w:val="24"/>
          <w:lang w:val="sr-Cyrl-CS"/>
        </w:rPr>
      </w:pPr>
      <w:r w:rsidRPr="00F01920">
        <w:rPr>
          <w:sz w:val="24"/>
          <w:szCs w:val="24"/>
          <w:lang w:val="sr-Cyrl-CS"/>
        </w:rPr>
        <w:t xml:space="preserve"> </w:t>
      </w:r>
    </w:p>
    <w:p w14:paraId="33003828" w14:textId="77777777" w:rsidR="00C35FA6" w:rsidRPr="003C31D4" w:rsidRDefault="00C35FA6" w:rsidP="00C35FA6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3C31D4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3C31D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.</w:t>
      </w:r>
    </w:p>
    <w:p w14:paraId="2A771399" w14:textId="77777777" w:rsidR="00C35FA6" w:rsidRPr="00F01920" w:rsidRDefault="00C35FA6" w:rsidP="00C35FA6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bookmarkStart w:id="0" w:name="_Hlk148424254"/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11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2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3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4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5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6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7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8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19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20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21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22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23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24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25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3537AFD8" w14:textId="77777777" w:rsidR="00C35FA6" w:rsidRPr="00F01920" w:rsidRDefault="00C35FA6" w:rsidP="00C35FA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bookmarkEnd w:id="0"/>
    <w:p w14:paraId="3461D473" w14:textId="77777777" w:rsidR="00C35FA6" w:rsidRPr="00F01920" w:rsidRDefault="00C35FA6" w:rsidP="00C35FA6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простору.</w:t>
      </w:r>
    </w:p>
    <w:p w14:paraId="28201798" w14:textId="77777777" w:rsidR="00C35FA6" w:rsidRPr="00F01920" w:rsidRDefault="00C35FA6" w:rsidP="00C35FA6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26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27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28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29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30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31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32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33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34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35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36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37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38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39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40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7235F78F" w14:textId="77777777" w:rsidR="00C35FA6" w:rsidRPr="00F01920" w:rsidRDefault="00C35FA6" w:rsidP="00C35FA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14:paraId="1B6724E2" w14:textId="77777777" w:rsidR="00C35FA6" w:rsidRPr="00F01920" w:rsidRDefault="00C35FA6" w:rsidP="00C35FA6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5EFEB65C" w14:textId="77777777" w:rsidR="00C35FA6" w:rsidRPr="00F01920" w:rsidRDefault="00C35FA6" w:rsidP="00C35FA6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F01920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6CA6D377" w14:textId="77777777" w:rsidR="00C35FA6" w:rsidRPr="00F01920" w:rsidRDefault="00C35FA6" w:rsidP="00C35FA6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41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42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43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44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45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46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47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48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49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50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51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52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53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54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55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</w:t>
      </w:r>
      <w:r w:rsidRPr="00F01920">
        <w:rPr>
          <w:rFonts w:cs="Times New Roman"/>
          <w:color w:val="000000"/>
          <w:sz w:val="24"/>
          <w:szCs w:val="24"/>
        </w:rPr>
        <w:lastRenderedPageBreak/>
        <w:t>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570B7996" w14:textId="77777777" w:rsidR="00C35FA6" w:rsidRPr="00F01920" w:rsidRDefault="00C35FA6" w:rsidP="00C35FA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14:paraId="6E4444FC" w14:textId="77777777" w:rsidR="00C35FA6" w:rsidRPr="00F01920" w:rsidRDefault="00C35FA6" w:rsidP="00C35FA6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4) замене постојећег грејача простора на чврсто гориво (котао или пећ) ефикаснијим котлом на_гас, </w:t>
      </w:r>
      <w:r w:rsidRPr="00F01920">
        <w:rPr>
          <w:sz w:val="24"/>
          <w:szCs w:val="24"/>
        </w:rPr>
        <w:br/>
      </w: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56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57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58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59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60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61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62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63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64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65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66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67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68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69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70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4C175B0D" w14:textId="77777777" w:rsidR="00C35FA6" w:rsidRPr="00F01920" w:rsidRDefault="00C35FA6" w:rsidP="00C35FA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14:paraId="370CE3F4" w14:textId="77777777" w:rsidR="00C35FA6" w:rsidRPr="00F01920" w:rsidRDefault="00C35FA6" w:rsidP="00C35FA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491E681" w14:textId="77777777" w:rsidR="00C35FA6" w:rsidRPr="00F01920" w:rsidRDefault="00C35FA6" w:rsidP="00C35FA6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F0192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замене постојећег грејача простора на чврсто гориво (котао или пећ) ефикаснијим котлом на биомасу</w:t>
      </w:r>
    </w:p>
    <w:p w14:paraId="6C4494B0" w14:textId="77777777" w:rsidR="00C35FA6" w:rsidRDefault="00C35FA6" w:rsidP="00C35FA6">
      <w:pPr>
        <w:autoSpaceDE w:val="0"/>
        <w:autoSpaceDN w:val="0"/>
        <w:adjustRightInd w:val="0"/>
        <w:ind w:left="1080"/>
        <w:jc w:val="both"/>
        <w:rPr>
          <w:rFonts w:cs="Times New Roman"/>
          <w:color w:val="000000"/>
          <w:sz w:val="24"/>
          <w:szCs w:val="24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71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72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73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74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75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76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77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78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79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80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81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82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83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84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85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1E091C20" w14:textId="77777777" w:rsidR="00C35FA6" w:rsidRDefault="00C35FA6" w:rsidP="00C35FA6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</w:p>
    <w:p w14:paraId="5E88B896" w14:textId="77777777" w:rsidR="00C35FA6" w:rsidRPr="0007220A" w:rsidRDefault="00C35FA6" w:rsidP="00C35FA6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463C93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14:paraId="3E1E3ED7" w14:textId="77777777" w:rsidR="00C35FA6" w:rsidRDefault="00C35FA6" w:rsidP="00C35FA6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86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87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88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89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90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91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92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93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94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95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96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97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98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99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100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295D8A9C" w14:textId="77777777" w:rsidR="00C35FA6" w:rsidRPr="00F01920" w:rsidRDefault="00C35FA6" w:rsidP="00C35FA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14:paraId="049B479C" w14:textId="77777777" w:rsidR="00C35FA6" w:rsidRPr="00F01920" w:rsidRDefault="00C35FA6" w:rsidP="00C35FA6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416E358" w14:textId="77777777" w:rsidR="00C35FA6" w:rsidRPr="00F01920" w:rsidRDefault="00C35FA6" w:rsidP="00C35FA6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F01920"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7) </w:t>
      </w:r>
      <w:r>
        <w:rPr>
          <w:rFonts w:eastAsia="Calibri" w:cs="Times New Roman"/>
          <w:b/>
          <w:sz w:val="24"/>
          <w:szCs w:val="24"/>
          <w:u w:val="single"/>
          <w:lang w:val="sr-Cyrl-CS"/>
        </w:rPr>
        <w:t>З</w:t>
      </w:r>
      <w:r w:rsidRPr="00F01920">
        <w:rPr>
          <w:rFonts w:eastAsia="Calibri" w:cs="Times New Roman"/>
          <w:b/>
          <w:sz w:val="24"/>
          <w:szCs w:val="24"/>
          <w:u w:val="single"/>
          <w:lang w:val="sr-Cyrl-CS"/>
        </w:rPr>
        <w:t>амене постојеће или уградња нове цевне мреже, грејних тела и пратећег прибора</w:t>
      </w:r>
      <w:r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 само уз меру 4-6)</w:t>
      </w:r>
    </w:p>
    <w:p w14:paraId="0D1C7F3D" w14:textId="77777777" w:rsidR="00C35FA6" w:rsidRPr="00F01920" w:rsidRDefault="00C35FA6" w:rsidP="00C35FA6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101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02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03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04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05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06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07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08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 Одлука УС РС,  </w:t>
      </w:r>
      <w:hyperlink r:id="rId109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110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11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12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113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114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115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1949F997" w14:textId="77777777" w:rsidR="00C35FA6" w:rsidRPr="00F01920" w:rsidRDefault="00C35FA6" w:rsidP="00C35FA6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14:paraId="45F8D2B2" w14:textId="77777777" w:rsidR="00C35FA6" w:rsidRPr="00F01920" w:rsidRDefault="00C35FA6" w:rsidP="00C35FA6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F01920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75B7E362" w14:textId="77777777" w:rsidR="00C35FA6" w:rsidRDefault="00C35FA6" w:rsidP="00C35FA6">
      <w:pPr>
        <w:autoSpaceDE w:val="0"/>
        <w:autoSpaceDN w:val="0"/>
        <w:adjustRightInd w:val="0"/>
        <w:ind w:left="1080"/>
        <w:jc w:val="both"/>
        <w:rPr>
          <w:rFonts w:cs="Times New Roman"/>
          <w:color w:val="000000"/>
          <w:sz w:val="24"/>
          <w:szCs w:val="24"/>
        </w:rPr>
      </w:pPr>
      <w:r w:rsidRPr="00F01920">
        <w:rPr>
          <w:rFonts w:eastAsia="Calibri"/>
          <w:sz w:val="24"/>
          <w:szCs w:val="24"/>
          <w:lang w:val="sr-Cyrl-CS"/>
        </w:rPr>
        <w:t xml:space="preserve">Ова мера се реализује на основу: Техничког описа и пописа  радова уз графички и схематски приказ. </w:t>
      </w:r>
      <w:r w:rsidRPr="00F01920">
        <w:rPr>
          <w:rFonts w:eastAsia="Calibri"/>
          <w:sz w:val="24"/>
          <w:szCs w:val="24"/>
          <w:lang w:val="sr-Latn-RS"/>
        </w:rPr>
        <w:t xml:space="preserve"> </w:t>
      </w:r>
      <w:r w:rsidRPr="00F01920">
        <w:rPr>
          <w:rFonts w:eastAsia="Calibri"/>
          <w:sz w:val="24"/>
          <w:szCs w:val="24"/>
        </w:rPr>
        <w:t xml:space="preserve">Наведена пројектно- техничка документација  се израђује у складу са </w:t>
      </w:r>
      <w:r w:rsidRPr="00F01920">
        <w:rPr>
          <w:rFonts w:eastAsia="Calibri"/>
          <w:sz w:val="24"/>
          <w:szCs w:val="24"/>
          <w:lang w:val="sr-Cyrl-CS"/>
        </w:rPr>
        <w:t xml:space="preserve">чл.144. </w:t>
      </w:r>
      <w:r w:rsidRPr="00F01920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 w:rsidRPr="00F01920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F01920">
        <w:rPr>
          <w:rFonts w:eastAsia="Calibri" w:cs="Times New Roman"/>
          <w:sz w:val="24"/>
          <w:szCs w:val="24"/>
        </w:rPr>
        <w:t>(</w:t>
      </w:r>
      <w:r w:rsidRPr="00F01920">
        <w:rPr>
          <w:rFonts w:cs="Times New Roman"/>
          <w:sz w:val="24"/>
          <w:szCs w:val="24"/>
        </w:rPr>
        <w:t>"Службени гласник РС", бр. </w:t>
      </w:r>
      <w:hyperlink r:id="rId116" w:history="1">
        <w:r w:rsidRPr="00F01920">
          <w:rPr>
            <w:rFonts w:cs="Times New Roman"/>
            <w:sz w:val="24"/>
            <w:szCs w:val="24"/>
          </w:rPr>
          <w:t>72/2009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17" w:history="1">
        <w:r w:rsidRPr="00F01920">
          <w:rPr>
            <w:rFonts w:cs="Times New Roman"/>
            <w:sz w:val="24"/>
            <w:szCs w:val="24"/>
          </w:rPr>
          <w:t>81/2009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18" w:history="1">
        <w:r w:rsidRPr="00F01920">
          <w:rPr>
            <w:rFonts w:cs="Times New Roman"/>
            <w:sz w:val="24"/>
            <w:szCs w:val="24"/>
          </w:rPr>
          <w:t>64/2010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19" w:history="1">
        <w:r w:rsidRPr="00F01920">
          <w:rPr>
            <w:rFonts w:cs="Times New Roman"/>
            <w:sz w:val="24"/>
            <w:szCs w:val="24"/>
          </w:rPr>
          <w:t>24/2011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20" w:history="1">
        <w:r w:rsidRPr="00F01920">
          <w:rPr>
            <w:rFonts w:cs="Times New Roman"/>
            <w:sz w:val="24"/>
            <w:szCs w:val="24"/>
          </w:rPr>
          <w:t>121/2012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21" w:history="1">
        <w:r w:rsidRPr="00F01920">
          <w:rPr>
            <w:rFonts w:cs="Times New Roman"/>
            <w:sz w:val="24"/>
            <w:szCs w:val="24"/>
          </w:rPr>
          <w:t>42/2013</w:t>
        </w:r>
      </w:hyperlink>
      <w:r w:rsidRPr="00F01920">
        <w:rPr>
          <w:rFonts w:cs="Times New Roman"/>
          <w:sz w:val="24"/>
          <w:szCs w:val="24"/>
        </w:rPr>
        <w:t> - Одлука УС РС, </w:t>
      </w:r>
      <w:hyperlink r:id="rId122" w:history="1">
        <w:r w:rsidRPr="00F01920">
          <w:rPr>
            <w:rFonts w:cs="Times New Roman"/>
            <w:sz w:val="24"/>
            <w:szCs w:val="24"/>
          </w:rPr>
          <w:t>50/2013</w:t>
        </w:r>
      </w:hyperlink>
      <w:r w:rsidRPr="00F01920">
        <w:rPr>
          <w:rFonts w:cs="Times New Roman"/>
          <w:sz w:val="24"/>
          <w:szCs w:val="24"/>
        </w:rPr>
        <w:t> -Одлука УС РС, </w:t>
      </w:r>
      <w:hyperlink r:id="rId123" w:history="1">
        <w:r w:rsidRPr="00F01920">
          <w:rPr>
            <w:rFonts w:cs="Times New Roman"/>
            <w:sz w:val="24"/>
            <w:szCs w:val="24"/>
          </w:rPr>
          <w:t>98/2013</w:t>
        </w:r>
      </w:hyperlink>
      <w:r w:rsidRPr="00F01920">
        <w:rPr>
          <w:rFonts w:cs="Times New Roman"/>
          <w:sz w:val="24"/>
          <w:szCs w:val="24"/>
        </w:rPr>
        <w:t> -</w:t>
      </w:r>
      <w:r>
        <w:rPr>
          <w:rFonts w:cs="Times New Roman"/>
          <w:sz w:val="24"/>
          <w:szCs w:val="24"/>
        </w:rPr>
        <w:t xml:space="preserve"> </w:t>
      </w:r>
      <w:r w:rsidRPr="00F01920">
        <w:rPr>
          <w:rFonts w:cs="Times New Roman"/>
          <w:sz w:val="24"/>
          <w:szCs w:val="24"/>
        </w:rPr>
        <w:t>Одлука УС РС,  </w:t>
      </w:r>
      <w:hyperlink r:id="rId124" w:history="1">
        <w:r w:rsidRPr="00F01920">
          <w:rPr>
            <w:rFonts w:cs="Times New Roman"/>
            <w:sz w:val="24"/>
            <w:szCs w:val="24"/>
          </w:rPr>
          <w:t>145/2014</w:t>
        </w:r>
      </w:hyperlink>
      <w:r w:rsidRPr="00F01920">
        <w:rPr>
          <w:rFonts w:cs="Times New Roman"/>
          <w:sz w:val="24"/>
          <w:szCs w:val="24"/>
        </w:rPr>
        <w:t>, </w:t>
      </w:r>
      <w:hyperlink r:id="rId125" w:history="1">
        <w:r w:rsidRPr="00F01920">
          <w:rPr>
            <w:rFonts w:cs="Times New Roman"/>
            <w:sz w:val="24"/>
            <w:szCs w:val="24"/>
          </w:rPr>
          <w:t>83/2018</w:t>
        </w:r>
      </w:hyperlink>
      <w:r w:rsidRPr="00F01920">
        <w:rPr>
          <w:rFonts w:cs="Times New Roman"/>
          <w:sz w:val="24"/>
          <w:szCs w:val="24"/>
        </w:rPr>
        <w:t> , </w:t>
      </w:r>
      <w:hyperlink r:id="rId126" w:history="1">
        <w:r w:rsidRPr="00F01920">
          <w:rPr>
            <w:rFonts w:cs="Times New Roman"/>
            <w:sz w:val="24"/>
            <w:szCs w:val="24"/>
          </w:rPr>
          <w:t>31/2019</w:t>
        </w:r>
      </w:hyperlink>
      <w:r w:rsidRPr="00F01920">
        <w:rPr>
          <w:rFonts w:cs="Times New Roman"/>
          <w:sz w:val="24"/>
          <w:szCs w:val="24"/>
        </w:rPr>
        <w:t>, </w:t>
      </w:r>
      <w:hyperlink r:id="rId127" w:history="1">
        <w:r w:rsidRPr="00F01920">
          <w:rPr>
            <w:rFonts w:cs="Times New Roman"/>
            <w:sz w:val="24"/>
            <w:szCs w:val="24"/>
          </w:rPr>
          <w:t>37/2019</w:t>
        </w:r>
      </w:hyperlink>
      <w:r w:rsidRPr="00F01920">
        <w:rPr>
          <w:rFonts w:cs="Times New Roman"/>
          <w:sz w:val="24"/>
          <w:szCs w:val="24"/>
        </w:rPr>
        <w:t> - други закон, </w:t>
      </w:r>
      <w:hyperlink r:id="rId128" w:history="1">
        <w:r w:rsidRPr="00F01920">
          <w:rPr>
            <w:rFonts w:cs="Times New Roman"/>
            <w:sz w:val="24"/>
            <w:szCs w:val="24"/>
          </w:rPr>
          <w:t>9/2020</w:t>
        </w:r>
      </w:hyperlink>
      <w:r w:rsidRPr="00F01920">
        <w:rPr>
          <w:rFonts w:cs="Times New Roman"/>
          <w:sz w:val="24"/>
          <w:szCs w:val="24"/>
        </w:rPr>
        <w:t> ,</w:t>
      </w:r>
      <w:r w:rsidRPr="00F01920">
        <w:rPr>
          <w:rFonts w:cs="Times New Roman"/>
          <w:sz w:val="24"/>
          <w:szCs w:val="24"/>
          <w:lang w:val="hr-HR"/>
        </w:rPr>
        <w:t> </w:t>
      </w:r>
      <w:hyperlink r:id="rId129" w:history="1">
        <w:r w:rsidRPr="00F01920">
          <w:rPr>
            <w:rFonts w:cs="Times New Roman"/>
            <w:sz w:val="24"/>
            <w:szCs w:val="24"/>
            <w:lang w:val="hr-HR"/>
          </w:rPr>
          <w:t>52/2021</w:t>
        </w:r>
      </w:hyperlink>
      <w:r w:rsidRPr="00F01920">
        <w:rPr>
          <w:rFonts w:cs="Times New Roman"/>
          <w:sz w:val="24"/>
          <w:szCs w:val="24"/>
          <w:lang w:val="hr-HR"/>
        </w:rPr>
        <w:t> </w:t>
      </w:r>
      <w:r w:rsidRPr="00F01920">
        <w:rPr>
          <w:rFonts w:cs="Times New Roman"/>
          <w:sz w:val="24"/>
          <w:szCs w:val="24"/>
        </w:rPr>
        <w:t>и </w:t>
      </w:r>
      <w:hyperlink r:id="rId130" w:history="1">
        <w:r w:rsidRPr="00F01920">
          <w:rPr>
            <w:rFonts w:cs="Times New Roman"/>
            <w:sz w:val="24"/>
            <w:szCs w:val="24"/>
          </w:rPr>
          <w:t>62/2023</w:t>
        </w:r>
      </w:hyperlink>
      <w:r w:rsidRPr="00F01920">
        <w:rPr>
          <w:rFonts w:cs="Times New Roman"/>
          <w:sz w:val="24"/>
          <w:szCs w:val="24"/>
        </w:rPr>
        <w:t> )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eastAsia="Calibri" w:cs="Times New Roman"/>
          <w:sz w:val="24"/>
          <w:szCs w:val="24"/>
          <w:lang w:val="sr-Cyrl-CS"/>
        </w:rPr>
        <w:t>и</w:t>
      </w:r>
      <w:r w:rsidRPr="00F01920">
        <w:rPr>
          <w:rFonts w:eastAsia="Calibri" w:cs="Times New Roman"/>
          <w:color w:val="C00000"/>
          <w:sz w:val="24"/>
          <w:szCs w:val="24"/>
          <w:lang w:val="sr-Cyrl-CS"/>
        </w:rPr>
        <w:t xml:space="preserve"> </w:t>
      </w:r>
      <w:r w:rsidRPr="00F01920">
        <w:rPr>
          <w:rFonts w:cs="Times New Roman"/>
          <w:sz w:val="24"/>
          <w:szCs w:val="24"/>
        </w:rPr>
        <w:t xml:space="preserve">Правилником </w:t>
      </w:r>
      <w:r w:rsidRPr="00F01920">
        <w:rPr>
          <w:rFonts w:cs="Times New Roman"/>
          <w:b/>
          <w:bCs/>
          <w:sz w:val="24"/>
          <w:szCs w:val="24"/>
        </w:rPr>
        <w:t>о посебној врсти објеката и посебној врсти радова за које није потребно прибављати акт надлежног органа</w:t>
      </w:r>
      <w:r w:rsidRPr="00F01920">
        <w:rPr>
          <w:rFonts w:cs="Times New Roman"/>
          <w:b/>
          <w:bCs/>
          <w:color w:val="000000"/>
          <w:sz w:val="24"/>
          <w:szCs w:val="24"/>
        </w:rPr>
        <w:t>,</w:t>
      </w:r>
      <w:r w:rsidRPr="00F01920">
        <w:rPr>
          <w:rFonts w:cs="Times New Roman"/>
          <w:color w:val="000000"/>
          <w:sz w:val="24"/>
          <w:szCs w:val="24"/>
        </w:rPr>
        <w:t xml:space="preserve">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је надлежани орган спроводи. ("Службени гласник РС",бр.102/2020, 16/2021 и 87/2021), те свим осталим прописима који регулишу дату област.</w:t>
      </w:r>
    </w:p>
    <w:p w14:paraId="2A9B15F2" w14:textId="77777777" w:rsidR="00C35FA6" w:rsidRDefault="00C35FA6" w:rsidP="00C35FA6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</w:p>
    <w:p w14:paraId="1AA5BBC2" w14:textId="77777777" w:rsidR="00C35FA6" w:rsidRPr="00872BA5" w:rsidRDefault="00C35FA6" w:rsidP="00C35FA6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C00000"/>
          <w:sz w:val="24"/>
          <w:szCs w:val="24"/>
          <w:u w:val="single"/>
          <w:lang w:val="sr-Cyrl-CS"/>
        </w:rPr>
      </w:pPr>
      <w:r w:rsidRPr="00D71B5D">
        <w:rPr>
          <w:rFonts w:eastAsia="Calibri" w:cs="Times New Roman"/>
          <w:b/>
          <w:bCs/>
          <w:sz w:val="24"/>
          <w:szCs w:val="24"/>
          <w:lang w:val="sr-Cyrl-CS"/>
        </w:rPr>
        <w:t xml:space="preserve">9) </w:t>
      </w:r>
      <w:r w:rsidRPr="00D71B5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уградња соларних панела, инвертора  и остале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законом, односно</w:t>
      </w:r>
      <w:r w:rsidRPr="00D71B5D">
        <w:rPr>
          <w:rFonts w:cs="Times New Roman"/>
          <w:sz w:val="24"/>
          <w:szCs w:val="24"/>
        </w:rPr>
        <w:t xml:space="preserve"> у складу са Прилогом (Општи услови за прикључење фотонапонских модула на унутрашње инсталације постојећег објекта купца за Индивидуална домаћинства са директним мерењем- издат од стране Електродистрибуције Србије д.о.о. Београд, 03.12.2021. године)</w:t>
      </w:r>
      <w:r w:rsidRPr="00D71B5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 неопходни приликом прикључења на дистрибутивни систем.</w:t>
      </w:r>
      <w:r w:rsidRPr="00D71B5D">
        <w:rPr>
          <w:rFonts w:cs="Times New Roman"/>
          <w:sz w:val="24"/>
          <w:szCs w:val="24"/>
          <w:lang w:val="sr-Cyrl-CS"/>
        </w:rPr>
        <w:t xml:space="preserve"> </w:t>
      </w:r>
      <w:r w:rsidRPr="00D71B5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Pr="00D71B5D">
        <w:rPr>
          <w:rFonts w:eastAsia="Calibri" w:cs="Times New Roman"/>
          <w:b/>
          <w:bCs/>
          <w:sz w:val="24"/>
          <w:szCs w:val="24"/>
          <w:u w:val="single"/>
          <w:lang w:val="en-US"/>
        </w:rPr>
        <w:t>10,8</w:t>
      </w:r>
      <w:r w:rsidRPr="00D71B5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kW;</w:t>
      </w:r>
    </w:p>
    <w:p w14:paraId="6320C8F5" w14:textId="77777777" w:rsidR="00C35FA6" w:rsidRPr="00F01920" w:rsidRDefault="00C35FA6" w:rsidP="00C35FA6">
      <w:pPr>
        <w:tabs>
          <w:tab w:val="left" w:pos="819"/>
        </w:tabs>
        <w:rPr>
          <w:rFonts w:eastAsia="Times New Roman" w:cs="Times New Roman"/>
          <w:sz w:val="24"/>
          <w:szCs w:val="24"/>
          <w:lang w:eastAsia="sr-Latn-RS"/>
        </w:rPr>
      </w:pPr>
    </w:p>
    <w:p w14:paraId="7BCA43C7" w14:textId="77777777" w:rsidR="00C35FA6" w:rsidRPr="00640621" w:rsidRDefault="00C35FA6" w:rsidP="00C35FA6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sectPr w:rsidR="5B04E19C" w:rsidRPr="006575AC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B1217" w14:textId="77777777" w:rsidR="00A10E3F" w:rsidRDefault="00A10E3F" w:rsidP="001E2F65">
      <w:r>
        <w:separator/>
      </w:r>
    </w:p>
  </w:endnote>
  <w:endnote w:type="continuationSeparator" w:id="0">
    <w:p w14:paraId="216BEDC4" w14:textId="77777777" w:rsidR="00A10E3F" w:rsidRDefault="00A10E3F" w:rsidP="001E2F65">
      <w:r>
        <w:continuationSeparator/>
      </w:r>
    </w:p>
  </w:endnote>
  <w:endnote w:type="continuationNotice" w:id="1">
    <w:p w14:paraId="78D12CDC" w14:textId="77777777" w:rsidR="00A10E3F" w:rsidRDefault="00A10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B745F" w14:textId="77777777" w:rsidR="00A10E3F" w:rsidRDefault="00A10E3F" w:rsidP="001E2F65">
      <w:r>
        <w:separator/>
      </w:r>
    </w:p>
  </w:footnote>
  <w:footnote w:type="continuationSeparator" w:id="0">
    <w:p w14:paraId="2FB454FD" w14:textId="77777777" w:rsidR="00A10E3F" w:rsidRDefault="00A10E3F" w:rsidP="001E2F65">
      <w:r>
        <w:continuationSeparator/>
      </w:r>
    </w:p>
  </w:footnote>
  <w:footnote w:type="continuationNotice" w:id="1">
    <w:p w14:paraId="457A4134" w14:textId="77777777" w:rsidR="00A10E3F" w:rsidRDefault="00A10E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088B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299"/>
    <w:rsid w:val="00405CE6"/>
    <w:rsid w:val="00407AC5"/>
    <w:rsid w:val="0041042A"/>
    <w:rsid w:val="00412FFB"/>
    <w:rsid w:val="00431940"/>
    <w:rsid w:val="00432586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4125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72F8E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23A2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7F3054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0E3F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787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35FA6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63" Type="http://schemas.openxmlformats.org/officeDocument/2006/relationships/hyperlink" Target="javascript:void(0)" TargetMode="External"/><Relationship Id="rId68" Type="http://schemas.openxmlformats.org/officeDocument/2006/relationships/hyperlink" Target="javascript:void(0)" TargetMode="External"/><Relationship Id="rId84" Type="http://schemas.openxmlformats.org/officeDocument/2006/relationships/hyperlink" Target="javascript:void(0)" TargetMode="External"/><Relationship Id="rId89" Type="http://schemas.openxmlformats.org/officeDocument/2006/relationships/hyperlink" Target="javascript:void(0)" TargetMode="External"/><Relationship Id="rId112" Type="http://schemas.openxmlformats.org/officeDocument/2006/relationships/hyperlink" Target="javascript:void(0)" TargetMode="External"/><Relationship Id="rId16" Type="http://schemas.openxmlformats.org/officeDocument/2006/relationships/hyperlink" Target="javascript:void(0)" TargetMode="External"/><Relationship Id="rId107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74" Type="http://schemas.openxmlformats.org/officeDocument/2006/relationships/hyperlink" Target="javascript:void(0)" TargetMode="External"/><Relationship Id="rId79" Type="http://schemas.openxmlformats.org/officeDocument/2006/relationships/hyperlink" Target="javascript:void(0)" TargetMode="External"/><Relationship Id="rId102" Type="http://schemas.openxmlformats.org/officeDocument/2006/relationships/hyperlink" Target="javascript:void(0)" TargetMode="External"/><Relationship Id="rId123" Type="http://schemas.openxmlformats.org/officeDocument/2006/relationships/hyperlink" Target="javascript:void(0)" TargetMode="External"/><Relationship Id="rId128" Type="http://schemas.openxmlformats.org/officeDocument/2006/relationships/hyperlink" Target="javascript:void(0)" TargetMode="External"/><Relationship Id="rId5" Type="http://schemas.openxmlformats.org/officeDocument/2006/relationships/numbering" Target="numbering.xml"/><Relationship Id="rId90" Type="http://schemas.openxmlformats.org/officeDocument/2006/relationships/hyperlink" Target="javascript:void(0)" TargetMode="External"/><Relationship Id="rId95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64" Type="http://schemas.openxmlformats.org/officeDocument/2006/relationships/hyperlink" Target="javascript:void(0)" TargetMode="External"/><Relationship Id="rId69" Type="http://schemas.openxmlformats.org/officeDocument/2006/relationships/hyperlink" Target="javascript:void(0)" TargetMode="External"/><Relationship Id="rId113" Type="http://schemas.openxmlformats.org/officeDocument/2006/relationships/hyperlink" Target="javascript:void(0)" TargetMode="External"/><Relationship Id="rId118" Type="http://schemas.openxmlformats.org/officeDocument/2006/relationships/hyperlink" Target="javascript:void(0)" TargetMode="External"/><Relationship Id="rId80" Type="http://schemas.openxmlformats.org/officeDocument/2006/relationships/hyperlink" Target="javascript:void(0)" TargetMode="External"/><Relationship Id="rId85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59" Type="http://schemas.openxmlformats.org/officeDocument/2006/relationships/hyperlink" Target="javascript:void(0)" TargetMode="External"/><Relationship Id="rId103" Type="http://schemas.openxmlformats.org/officeDocument/2006/relationships/hyperlink" Target="javascript:void(0)" TargetMode="External"/><Relationship Id="rId108" Type="http://schemas.openxmlformats.org/officeDocument/2006/relationships/hyperlink" Target="javascript:void(0)" TargetMode="External"/><Relationship Id="rId124" Type="http://schemas.openxmlformats.org/officeDocument/2006/relationships/hyperlink" Target="javascript:void(0)" TargetMode="External"/><Relationship Id="rId129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javascript:void(0)" TargetMode="External"/><Relationship Id="rId91" Type="http://schemas.openxmlformats.org/officeDocument/2006/relationships/hyperlink" Target="javascript:void(0)" TargetMode="External"/><Relationship Id="rId9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49" Type="http://schemas.openxmlformats.org/officeDocument/2006/relationships/hyperlink" Target="javascript:void(0)" TargetMode="External"/><Relationship Id="rId114" Type="http://schemas.openxmlformats.org/officeDocument/2006/relationships/hyperlink" Target="javascript:void(0)" TargetMode="External"/><Relationship Id="rId119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81" Type="http://schemas.openxmlformats.org/officeDocument/2006/relationships/hyperlink" Target="javascript:void(0)" TargetMode="External"/><Relationship Id="rId86" Type="http://schemas.openxmlformats.org/officeDocument/2006/relationships/hyperlink" Target="javascript:void(0)" TargetMode="External"/><Relationship Id="rId130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109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6" Type="http://schemas.openxmlformats.org/officeDocument/2006/relationships/hyperlink" Target="javascript:void(0)" TargetMode="External"/><Relationship Id="rId97" Type="http://schemas.openxmlformats.org/officeDocument/2006/relationships/hyperlink" Target="javascript:void(0)" TargetMode="External"/><Relationship Id="rId104" Type="http://schemas.openxmlformats.org/officeDocument/2006/relationships/hyperlink" Target="javascript:void(0)" TargetMode="External"/><Relationship Id="rId120" Type="http://schemas.openxmlformats.org/officeDocument/2006/relationships/hyperlink" Target="javascript:void(0)" TargetMode="External"/><Relationship Id="rId125" Type="http://schemas.openxmlformats.org/officeDocument/2006/relationships/hyperlink" Target="javascript:void(0)" TargetMode="External"/><Relationship Id="rId7" Type="http://schemas.openxmlformats.org/officeDocument/2006/relationships/settings" Target="settings.xml"/><Relationship Id="rId71" Type="http://schemas.openxmlformats.org/officeDocument/2006/relationships/hyperlink" Target="javascript:void(0)" TargetMode="External"/><Relationship Id="rId92" Type="http://schemas.openxmlformats.org/officeDocument/2006/relationships/hyperlink" Target="javascript:void(0)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66" Type="http://schemas.openxmlformats.org/officeDocument/2006/relationships/hyperlink" Target="javascript:void(0)" TargetMode="External"/><Relationship Id="rId87" Type="http://schemas.openxmlformats.org/officeDocument/2006/relationships/hyperlink" Target="javascript:void(0)" TargetMode="External"/><Relationship Id="rId110" Type="http://schemas.openxmlformats.org/officeDocument/2006/relationships/hyperlink" Target="javascript:void(0)" TargetMode="External"/><Relationship Id="rId115" Type="http://schemas.openxmlformats.org/officeDocument/2006/relationships/hyperlink" Target="javascript:void(0)" TargetMode="External"/><Relationship Id="rId131" Type="http://schemas.openxmlformats.org/officeDocument/2006/relationships/fontTable" Target="fontTable.xm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77" Type="http://schemas.openxmlformats.org/officeDocument/2006/relationships/hyperlink" Target="javascript:void(0)" TargetMode="External"/><Relationship Id="rId100" Type="http://schemas.openxmlformats.org/officeDocument/2006/relationships/hyperlink" Target="javascript:void(0)" TargetMode="External"/><Relationship Id="rId105" Type="http://schemas.openxmlformats.org/officeDocument/2006/relationships/hyperlink" Target="javascript:void(0)" TargetMode="External"/><Relationship Id="rId126" Type="http://schemas.openxmlformats.org/officeDocument/2006/relationships/hyperlink" Target="javascript:void(0)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javascript:void(0)" TargetMode="External"/><Relationship Id="rId93" Type="http://schemas.openxmlformats.org/officeDocument/2006/relationships/hyperlink" Target="javascript:void(0)" TargetMode="External"/><Relationship Id="rId98" Type="http://schemas.openxmlformats.org/officeDocument/2006/relationships/hyperlink" Target="javascript:void(0)" TargetMode="External"/><Relationship Id="rId121" Type="http://schemas.openxmlformats.org/officeDocument/2006/relationships/hyperlink" Target="javascript:void(0)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67" Type="http://schemas.openxmlformats.org/officeDocument/2006/relationships/hyperlink" Target="javascript:void(0)" TargetMode="External"/><Relationship Id="rId1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Relationship Id="rId83" Type="http://schemas.openxmlformats.org/officeDocument/2006/relationships/hyperlink" Target="javascript:void(0)" TargetMode="External"/><Relationship Id="rId88" Type="http://schemas.openxmlformats.org/officeDocument/2006/relationships/hyperlink" Target="javascript:void(0)" TargetMode="External"/><Relationship Id="rId111" Type="http://schemas.openxmlformats.org/officeDocument/2006/relationships/hyperlink" Target="javascript:void(0)" TargetMode="External"/><Relationship Id="rId132" Type="http://schemas.openxmlformats.org/officeDocument/2006/relationships/theme" Target="theme/theme1.xml"/><Relationship Id="rId15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106" Type="http://schemas.openxmlformats.org/officeDocument/2006/relationships/hyperlink" Target="javascript:void(0)" TargetMode="External"/><Relationship Id="rId127" Type="http://schemas.openxmlformats.org/officeDocument/2006/relationships/hyperlink" Target="javascript:void(0)" TargetMode="External"/><Relationship Id="rId10" Type="http://schemas.openxmlformats.org/officeDocument/2006/relationships/endnotes" Target="endnotes.xml"/><Relationship Id="rId31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94" Type="http://schemas.openxmlformats.org/officeDocument/2006/relationships/hyperlink" Target="javascript:void(0)" TargetMode="External"/><Relationship Id="rId99" Type="http://schemas.openxmlformats.org/officeDocument/2006/relationships/hyperlink" Target="javascript:void(0)" TargetMode="External"/><Relationship Id="rId101" Type="http://schemas.openxmlformats.org/officeDocument/2006/relationships/hyperlink" Target="javascript:void(0)" TargetMode="External"/><Relationship Id="rId122" Type="http://schemas.openxmlformats.org/officeDocument/2006/relationships/hyperlink" Target="javascript:void(0)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B8947-F6CB-4321-970D-CEC876B653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2027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Natasa</cp:lastModifiedBy>
  <cp:revision>3</cp:revision>
  <cp:lastPrinted>2016-10-07T07:40:00Z</cp:lastPrinted>
  <dcterms:created xsi:type="dcterms:W3CDTF">2023-09-15T12:10:00Z</dcterms:created>
  <dcterms:modified xsi:type="dcterms:W3CDTF">2023-11-01T14:14:00Z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